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Chéneau - Modèle vierge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Dépose ancien chéneau zinc + évacuation en déchetterie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18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270,00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Échafaudage de pied sur deux façades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Façon + pose chéneau zinc 0,80 mm soudé à l’étain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ml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18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1 530,00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Naissances tronconiques + trop-plein soudés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unité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240,00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Raccord aux descentes EP existantes Ø 100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unité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190,00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Contrôle d’étanchéité en eau + nettoyage de chantier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130,00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130,00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2 980,00 EUR</w:t>
      </w:r>
    </w:p>
    <w:p>
      <w:pPr>
        <w:jc w:val="right"/>
      </w:pPr>
      <w:r>
        <w:rPr>
          <w:b w:val="0"/>
          <w:sz w:val="22"/>
        </w:rPr>
        <w:t>TVA 10 % (rénovation logement de plus de 2 ans) : 298,00 EUR</w:t>
      </w:r>
    </w:p>
    <w:p>
      <w:pPr>
        <w:jc w:val="right"/>
      </w:pPr>
      <w:r>
        <w:rPr>
          <w:b/>
          <w:color w:val="047857"/>
          <w:sz w:val="26"/>
        </w:rPr>
        <w:t>Total TTC : 3 278,00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Acompte de 30 % à la commande, solde à réception de chantier. Devis valable 30 jours. Reprise de la corniche maçonnée non comprise sauf mention contraire.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