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SEO — Référencement naturel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Audit SEO technique et sémantique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Étude de mots-clés et stratégie éditoriale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Optimisation on-page (balises, maillage interne)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page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70,00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840,00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Rédaction d’articles optimisés (1 200 mots)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unité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Netlinking : liens éditoriaux thématiques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unité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140,00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700,00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Suivi mensuel : positions + rapport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mois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1 500,00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5 290,00 EUR</w:t>
      </w:r>
    </w:p>
    <w:p>
      <w:pPr>
        <w:jc w:val="right"/>
      </w:pPr>
      <w:r>
        <w:rPr>
          <w:b w:val="0"/>
          <w:sz w:val="22"/>
        </w:rPr>
        <w:t>TVA 20 % — prestation de services : 1 058,00 EUR</w:t>
      </w:r>
    </w:p>
    <w:p>
      <w:pPr>
        <w:jc w:val="right"/>
      </w:pPr>
      <w:r>
        <w:rPr>
          <w:b/>
          <w:color w:val="047857"/>
          <w:sz w:val="26"/>
        </w:rPr>
        <w:t>Total TTC : 6 348,00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Paiement : 40 % à la commande, solde à la remise des livrables. Engagement minimum conseillé : 6 mois. Devis valable 45 jours.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