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Construction &amp; Extension extension ossature bois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+ polyane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Murs parpaing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Charpente traditionnelle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Couverture tuiles + zinguerie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Menuiseries extérieures PVC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53 650.00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10 730.00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64 380.00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